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71"/>
      </w:pPr>
      <w:r>
        <w:rPr>
          <w:spacing w:val="-2"/>
        </w:rPr>
        <w:t>Τίτλος</w:t>
      </w:r>
      <w:r>
        <w:rPr>
          <w:spacing w:val="7"/>
        </w:rPr>
        <w:t> </w:t>
      </w:r>
      <w:r>
        <w:rPr>
          <w:spacing w:val="-2"/>
        </w:rPr>
        <w:t>Προτε</w:t>
      </w:r>
      <w:r>
        <w:rPr>
          <w:smallCaps/>
          <w:spacing w:val="-2"/>
        </w:rPr>
        <w:t>ιν</w:t>
      </w:r>
      <w:r>
        <w:rPr>
          <w:smallCaps w:val="0"/>
          <w:spacing w:val="-2"/>
        </w:rPr>
        <w:t>όμενης</w:t>
      </w:r>
      <w:r>
        <w:rPr>
          <w:smallCaps w:val="0"/>
          <w:spacing w:val="6"/>
        </w:rPr>
        <w:t> </w:t>
      </w:r>
      <w:r>
        <w:rPr>
          <w:smallCaps w:val="0"/>
          <w:spacing w:val="-2"/>
        </w:rPr>
        <w:t>Μεταδ</w:t>
      </w:r>
      <w:r>
        <w:rPr>
          <w:smallCaps/>
          <w:spacing w:val="-2"/>
        </w:rPr>
        <w:t>ι</w:t>
      </w:r>
      <w:r>
        <w:rPr>
          <w:smallCaps w:val="0"/>
          <w:spacing w:val="-2"/>
        </w:rPr>
        <w:t>δακτορ</w:t>
      </w:r>
      <w:r>
        <w:rPr>
          <w:smallCaps/>
          <w:spacing w:val="-2"/>
        </w:rPr>
        <w:t>ι</w:t>
      </w:r>
      <w:r>
        <w:rPr>
          <w:smallCaps w:val="0"/>
          <w:spacing w:val="-2"/>
        </w:rPr>
        <w:t>κής</w:t>
      </w:r>
      <w:r>
        <w:rPr>
          <w:smallCaps w:val="0"/>
          <w:spacing w:val="7"/>
        </w:rPr>
        <w:t> </w:t>
      </w:r>
      <w:r>
        <w:rPr>
          <w:smallCaps w:val="0"/>
          <w:spacing w:val="-2"/>
        </w:rPr>
        <w:t>Έρευνας:</w:t>
      </w:r>
    </w:p>
    <w:p>
      <w:pPr>
        <w:pStyle w:val="BodyText"/>
        <w:ind w:right="1"/>
        <w:jc w:val="center"/>
      </w:pPr>
      <w:r>
        <w:rPr>
          <w:b/>
        </w:rPr>
        <w:t>«</w:t>
      </w:r>
      <w:r>
        <w:rPr/>
        <w:t>What</w:t>
      </w:r>
      <w:r>
        <w:rPr>
          <w:spacing w:val="-6"/>
        </w:rPr>
        <w:t> </w:t>
      </w:r>
      <w:r>
        <w:rPr/>
        <w:t>is</w:t>
      </w:r>
      <w:r>
        <w:rPr>
          <w:spacing w:val="-3"/>
        </w:rPr>
        <w:t> </w:t>
      </w:r>
      <w:r>
        <w:rPr/>
        <w:t>the</w:t>
      </w:r>
      <w:r>
        <w:rPr>
          <w:spacing w:val="-3"/>
        </w:rPr>
        <w:t> </w:t>
      </w:r>
      <w:r>
        <w:rPr/>
        <w:t>Problem</w:t>
      </w:r>
      <w:r>
        <w:rPr>
          <w:spacing w:val="-5"/>
        </w:rPr>
        <w:t> </w:t>
      </w:r>
      <w:r>
        <w:rPr/>
        <w:t>Represented</w:t>
      </w:r>
      <w:r>
        <w:rPr>
          <w:spacing w:val="-6"/>
        </w:rPr>
        <w:t> </w:t>
      </w:r>
      <w:r>
        <w:rPr/>
        <w:t>To</w:t>
      </w:r>
      <w:r>
        <w:rPr>
          <w:spacing w:val="-6"/>
        </w:rPr>
        <w:t> </w:t>
      </w:r>
      <w:r>
        <w:rPr>
          <w:spacing w:val="-4"/>
        </w:rPr>
        <w:t>Be?»:</w:t>
      </w:r>
    </w:p>
    <w:p>
      <w:pPr>
        <w:pStyle w:val="BodyText"/>
        <w:ind w:left="457" w:right="457"/>
        <w:jc w:val="center"/>
      </w:pPr>
      <w:r>
        <w:rPr/>
        <w:t>Κριτική</w:t>
      </w:r>
      <w:r>
        <w:rPr>
          <w:spacing w:val="-4"/>
        </w:rPr>
        <w:t> </w:t>
      </w:r>
      <w:r>
        <w:rPr/>
        <w:t>επισκόπηση</w:t>
      </w:r>
      <w:r>
        <w:rPr>
          <w:spacing w:val="-6"/>
        </w:rPr>
        <w:t> </w:t>
      </w:r>
      <w:r>
        <w:rPr/>
        <w:t>της</w:t>
      </w:r>
      <w:r>
        <w:rPr>
          <w:spacing w:val="-5"/>
        </w:rPr>
        <w:t> </w:t>
      </w:r>
      <w:r>
        <w:rPr/>
        <w:t>αυστηροποίησης</w:t>
      </w:r>
      <w:r>
        <w:rPr>
          <w:spacing w:val="40"/>
        </w:rPr>
        <w:t> </w:t>
      </w:r>
      <w:r>
        <w:rPr/>
        <w:t>του</w:t>
      </w:r>
      <w:r>
        <w:rPr>
          <w:spacing w:val="-4"/>
        </w:rPr>
        <w:t> </w:t>
      </w:r>
      <w:r>
        <w:rPr/>
        <w:t>καθεστώτος</w:t>
      </w:r>
      <w:r>
        <w:rPr>
          <w:spacing w:val="-7"/>
        </w:rPr>
        <w:t> </w:t>
      </w:r>
      <w:r>
        <w:rPr/>
        <w:t>διεθνούς</w:t>
      </w:r>
      <w:r>
        <w:rPr>
          <w:spacing w:val="-7"/>
        </w:rPr>
        <w:t> </w:t>
      </w:r>
      <w:r>
        <w:rPr/>
        <w:t>προστασίας</w:t>
      </w:r>
      <w:r>
        <w:rPr>
          <w:spacing w:val="-5"/>
        </w:rPr>
        <w:t> </w:t>
      </w:r>
      <w:r>
        <w:rPr/>
        <w:t>και </w:t>
      </w:r>
      <w:r>
        <w:rPr>
          <w:spacing w:val="-2"/>
        </w:rPr>
        <w:t>μετανάστευσης</w:t>
      </w:r>
    </w:p>
    <w:p>
      <w:pPr>
        <w:pStyle w:val="BodyText"/>
        <w:ind w:right="1"/>
        <w:jc w:val="center"/>
      </w:pPr>
      <w:r>
        <w:rPr/>
        <w:t>μέσα</w:t>
      </w:r>
      <w:r>
        <w:rPr>
          <w:spacing w:val="-4"/>
        </w:rPr>
        <w:t> </w:t>
      </w:r>
      <w:r>
        <w:rPr/>
        <w:t>από την</w:t>
      </w:r>
      <w:r>
        <w:rPr>
          <w:spacing w:val="-3"/>
        </w:rPr>
        <w:t> </w:t>
      </w:r>
      <w:r>
        <w:rPr/>
        <w:t>ερευνητική</w:t>
      </w:r>
      <w:r>
        <w:rPr>
          <w:spacing w:val="-2"/>
        </w:rPr>
        <w:t> </w:t>
      </w:r>
      <w:r>
        <w:rPr/>
        <w:t>μεθοδολογία</w:t>
      </w:r>
      <w:r>
        <w:rPr>
          <w:spacing w:val="-3"/>
        </w:rPr>
        <w:t> </w:t>
      </w:r>
      <w:r>
        <w:rPr/>
        <w:t>της</w:t>
      </w:r>
      <w:r>
        <w:rPr>
          <w:spacing w:val="-2"/>
        </w:rPr>
        <w:t> </w:t>
      </w:r>
      <w:r>
        <w:rPr/>
        <w:t>Carol </w:t>
      </w:r>
      <w:r>
        <w:rPr>
          <w:spacing w:val="-2"/>
        </w:rPr>
        <w:t>Bacchi</w:t>
      </w:r>
    </w:p>
    <w:p>
      <w:pPr>
        <w:pStyle w:val="BodyText"/>
      </w:pPr>
    </w:p>
    <w:p>
      <w:pPr>
        <w:pStyle w:val="BodyText"/>
      </w:pPr>
    </w:p>
    <w:p>
      <w:pPr>
        <w:pStyle w:val="BodyText"/>
      </w:pPr>
    </w:p>
    <w:p>
      <w:pPr>
        <w:pStyle w:val="Heading1"/>
        <w:ind w:left="459"/>
      </w:pPr>
      <w:r>
        <w:rPr>
          <w:b w:val="0"/>
          <w:spacing w:val="55"/>
          <w:u w:val="thick"/>
        </w:rPr>
        <w:t> </w:t>
      </w:r>
      <w:r>
        <w:rPr>
          <w:u w:val="thick"/>
        </w:rPr>
        <w:t>Περίληψη</w:t>
      </w:r>
      <w:r>
        <w:rPr>
          <w:spacing w:val="-3"/>
          <w:u w:val="thick"/>
        </w:rPr>
        <w:t> </w:t>
      </w:r>
      <w:r>
        <w:rPr>
          <w:spacing w:val="-4"/>
          <w:u w:val="thick"/>
        </w:rPr>
        <w:t>(GR)</w:t>
      </w:r>
    </w:p>
    <w:p>
      <w:pPr>
        <w:pStyle w:val="BodyText"/>
        <w:rPr>
          <w:b/>
        </w:rPr>
      </w:pPr>
    </w:p>
    <w:p>
      <w:pPr>
        <w:pStyle w:val="BodyText"/>
        <w:rPr>
          <w:b/>
        </w:rPr>
      </w:pPr>
    </w:p>
    <w:p>
      <w:pPr>
        <w:pStyle w:val="BodyText"/>
        <w:spacing w:line="360" w:lineRule="auto"/>
        <w:ind w:left="140" w:right="139"/>
        <w:jc w:val="both"/>
      </w:pPr>
      <w:r>
        <w:rPr/>
        <w:t>Η προτεινόμενη μεταδιδακτορική έρευνα εξετάζει την διεπιστημονική μεθοδολογική προσέγγιση «What is the Problem Represented To Be?» της Carol Bacchi ως ένα πρόσφορο επιστημολογικό πλαίσιο κριτικής επεξεργασίας και στοχευμένης προβληματοποίησης επίκαιρων δημόσιων πολιτικών. Σε αυτή τη βάση, θα επιχειρήσει να εφαρμόσει την προσέγγιση WPR στην κριτική ανάλυση των εγχώριων δημοσίων</w:t>
      </w:r>
      <w:r>
        <w:rPr>
          <w:spacing w:val="40"/>
        </w:rPr>
        <w:t> </w:t>
      </w:r>
      <w:r>
        <w:rPr/>
        <w:t>πολιτικών που ρυθμίζουν το καθεστώς χορήγησης διεθνούς προστασίας, εστιάζοντας στον πρόσφατο Ν. 5226/2025 «Αναμόρφωση πλαισίου και διαδικασιών επιστροφών πολιτών τρίτων χωρών -</w:t>
      </w:r>
      <w:r>
        <w:rPr>
          <w:spacing w:val="-4"/>
        </w:rPr>
        <w:t> </w:t>
      </w:r>
      <w:r>
        <w:rPr/>
        <w:t>Λοιπές ρυθμίσεις του Υπουργείου Μετανάστευσης και</w:t>
      </w:r>
      <w:r>
        <w:rPr>
          <w:spacing w:val="-6"/>
        </w:rPr>
        <w:t> </w:t>
      </w:r>
      <w:r>
        <w:rPr/>
        <w:t>Ασύλου» (ΦΕΚ</w:t>
      </w:r>
      <w:r>
        <w:rPr>
          <w:spacing w:val="-2"/>
        </w:rPr>
        <w:t> </w:t>
      </w:r>
      <w:r>
        <w:rPr/>
        <w:t>Α' 163/22.09.2025) και τις αυστηροποιημένες νομοθετικές μεταβολές που αυτός εισάγει στην εγχώρια έννομη τάξη. Πιο συγκεκριμένα, σε πρώτο επίπεδο, η εν θέματι έρευνα θα παρουσιάσει και θα αποσαφηνίσει τις πολιτικοφιλοσοφικές προσλαμβάνουσες, τις θεωρητικές επιρροές, την εσωτερική εξαμερή διάρθρωση και τις πλοηγητικές</w:t>
      </w:r>
      <w:r>
        <w:rPr>
          <w:spacing w:val="40"/>
        </w:rPr>
        <w:t> </w:t>
      </w:r>
      <w:r>
        <w:rPr/>
        <w:t>κατευθύνσεις της εξεταζόμενης ερευνητικής μεθοδολογίας, αναπροσεγγίζοντας κριτικά τη διαλεκτική που αυτή αναπτύσσει αφενός με την φουκωική θεωρία και αφετέρου με την φεμινιστική φιλοσοφική παράδοση. Σε δεύτερο επίπεδο, η προτεινόμενη μεταδιδακτορική έρευνα θα θέσει σε εφαρμογή την προσέγγιση WPR για την κριτική ανάλυση των εγχώριων δημοσίων πολιτικών που δομούν το τρέχον ρυθμιστικό πλαίσιο χορήγησης διεθνούς προστασίας και διαχείρισης της μετανάστευσης, υποβάλλοντας το επιλεγμένο νομοθετικό παράδειγμα στην εξαμερή μεθοδολογία της εφαρμοζόμενης ερευνητικής μεθοδολογίας. Μέσω της αξιοποίησης του προτεινόμενου μεταδομιστικού μεθοδολογικού πρίσματος κριτικής ανάλυσης του αυστηροποιημένου καθεστώτος διαχείρισης του ασύλου και της μετανάστευσης εντός της τρέχουσας ελληνικής πραγματικότητας, επιχειρείται η επαναθεματοποίηση των πολιτικών διαχείρισης του ασύλου και της μετανάστευσης όχι ως ουδέτερων</w:t>
      </w:r>
      <w:r>
        <w:rPr>
          <w:spacing w:val="-1"/>
        </w:rPr>
        <w:t> </w:t>
      </w:r>
      <w:r>
        <w:rPr/>
        <w:t>θεσμικών</w:t>
      </w:r>
      <w:r>
        <w:rPr>
          <w:spacing w:val="-3"/>
        </w:rPr>
        <w:t> </w:t>
      </w:r>
      <w:r>
        <w:rPr/>
        <w:t>αποκρίσεων</w:t>
      </w:r>
      <w:r>
        <w:rPr>
          <w:spacing w:val="-1"/>
        </w:rPr>
        <w:t> </w:t>
      </w:r>
      <w:r>
        <w:rPr/>
        <w:t>σε</w:t>
      </w:r>
      <w:r>
        <w:rPr>
          <w:spacing w:val="-1"/>
        </w:rPr>
        <w:t> </w:t>
      </w:r>
      <w:r>
        <w:rPr/>
        <w:t>μια</w:t>
      </w:r>
      <w:r>
        <w:rPr>
          <w:spacing w:val="-3"/>
        </w:rPr>
        <w:t> </w:t>
      </w:r>
      <w:r>
        <w:rPr/>
        <w:t>εξωγενή</w:t>
      </w:r>
      <w:r>
        <w:rPr>
          <w:spacing w:val="-1"/>
        </w:rPr>
        <w:t> </w:t>
      </w:r>
      <w:r>
        <w:rPr/>
        <w:t>κρίση,</w:t>
      </w:r>
      <w:r>
        <w:rPr>
          <w:spacing w:val="-2"/>
        </w:rPr>
        <w:t> </w:t>
      </w:r>
      <w:r>
        <w:rPr/>
        <w:t>αλλά ως</w:t>
      </w:r>
      <w:r>
        <w:rPr>
          <w:spacing w:val="-1"/>
        </w:rPr>
        <w:t> </w:t>
      </w:r>
      <w:r>
        <w:rPr/>
        <w:t>κυρίαρχων</w:t>
      </w:r>
      <w:r>
        <w:rPr>
          <w:spacing w:val="-1"/>
        </w:rPr>
        <w:t> </w:t>
      </w:r>
      <w:r>
        <w:rPr/>
        <w:t>βιοπολιτικών μηχανισμών υποκειμενοποίησης, κατηγοριοποίησης και ελέγχου πληθυσμιακών ομάδων. Μέσα από την επιχειρούμενη ένθεση της εξεταζόμενης ερευνητικής μεθοδολογίας της Bacci</w:t>
      </w:r>
      <w:r>
        <w:rPr>
          <w:spacing w:val="64"/>
          <w:w w:val="150"/>
        </w:rPr>
        <w:t> </w:t>
      </w:r>
      <w:r>
        <w:rPr/>
        <w:t>σε</w:t>
      </w:r>
      <w:r>
        <w:rPr>
          <w:spacing w:val="63"/>
          <w:w w:val="150"/>
        </w:rPr>
        <w:t> </w:t>
      </w:r>
      <w:r>
        <w:rPr/>
        <w:t>διάλογο</w:t>
      </w:r>
      <w:r>
        <w:rPr>
          <w:spacing w:val="64"/>
          <w:w w:val="150"/>
        </w:rPr>
        <w:t> </w:t>
      </w:r>
      <w:r>
        <w:rPr/>
        <w:t>με</w:t>
      </w:r>
      <w:r>
        <w:rPr>
          <w:spacing w:val="63"/>
          <w:w w:val="150"/>
        </w:rPr>
        <w:t> </w:t>
      </w:r>
      <w:r>
        <w:rPr/>
        <w:t>σύγχρονες</w:t>
      </w:r>
      <w:r>
        <w:rPr>
          <w:spacing w:val="61"/>
          <w:w w:val="150"/>
        </w:rPr>
        <w:t> </w:t>
      </w:r>
      <w:r>
        <w:rPr/>
        <w:t>κριτικές</w:t>
      </w:r>
      <w:r>
        <w:rPr>
          <w:spacing w:val="65"/>
          <w:w w:val="150"/>
        </w:rPr>
        <w:t> </w:t>
      </w:r>
      <w:r>
        <w:rPr/>
        <w:t>προσεγγίσεις</w:t>
      </w:r>
      <w:r>
        <w:rPr>
          <w:spacing w:val="63"/>
          <w:w w:val="150"/>
        </w:rPr>
        <w:t> </w:t>
      </w:r>
      <w:r>
        <w:rPr/>
        <w:t>της</w:t>
      </w:r>
      <w:r>
        <w:rPr>
          <w:spacing w:val="63"/>
          <w:w w:val="150"/>
        </w:rPr>
        <w:t> </w:t>
      </w:r>
      <w:r>
        <w:rPr/>
        <w:t>«επιτελεστικότητας</w:t>
      </w:r>
      <w:r>
        <w:rPr>
          <w:spacing w:val="64"/>
          <w:w w:val="150"/>
        </w:rPr>
        <w:t> </w:t>
      </w:r>
      <w:r>
        <w:rPr>
          <w:spacing w:val="-5"/>
        </w:rPr>
        <w:t>των</w:t>
      </w:r>
    </w:p>
    <w:p>
      <w:pPr>
        <w:pStyle w:val="BodyText"/>
        <w:spacing w:after="0" w:line="360" w:lineRule="auto"/>
        <w:jc w:val="both"/>
        <w:sectPr>
          <w:type w:val="continuous"/>
          <w:pgSz w:w="11910" w:h="16840"/>
          <w:pgMar w:top="1320" w:bottom="280" w:left="1275" w:right="1559"/>
        </w:sectPr>
      </w:pPr>
    </w:p>
    <w:p>
      <w:pPr>
        <w:pStyle w:val="BodyText"/>
        <w:spacing w:line="360" w:lineRule="auto" w:before="75"/>
        <w:ind w:left="140" w:right="139"/>
        <w:jc w:val="both"/>
      </w:pPr>
      <w:r>
        <w:rPr/>
        <w:t>συνόρων»,</w:t>
      </w:r>
      <w:r>
        <w:rPr>
          <w:spacing w:val="40"/>
        </w:rPr>
        <w:t> </w:t>
      </w:r>
      <w:r>
        <w:rPr/>
        <w:t>θα διαυγαστούν περαιτέρω οι βιοπολιτικές τεχνολογίες δια των οποίων το νεοεισαγόμενο αυστηροποιημένο νομοθετικό καθεστώς διαχείρισης του ασύλου και της μετανάστευσης παράγει</w:t>
      </w:r>
      <w:r>
        <w:rPr>
          <w:spacing w:val="40"/>
        </w:rPr>
        <w:t> </w:t>
      </w:r>
      <w:r>
        <w:rPr/>
        <w:t>μαζικά και αδιάπτωτα ιεραρχικές κατηγοριοποιήσεις ‘παρανόμων’, ‘ανεπιθύμητων’ και ‘απελάσιμων’ υποκειμένων, διαφυλάσσοντας, με φυλετικοποιημένους όρους, την αμιγή ουσιοκρατική σύσταση της πολιτειότητας και της δυτικότητας στο εσωτερικό του Έθνους-Κράτους, και «φετιχοποιώντας» τον παρανομοποιημένο χαρακτήρα της σύγχρονης ανθρώπινης κινητικότητας.</w:t>
      </w:r>
    </w:p>
    <w:p>
      <w:pPr>
        <w:pStyle w:val="BodyText"/>
        <w:spacing w:before="138"/>
      </w:pPr>
    </w:p>
    <w:p>
      <w:pPr>
        <w:pStyle w:val="Heading1"/>
      </w:pPr>
      <w:r>
        <w:rPr/>
        <w:t>Abstract</w:t>
      </w:r>
      <w:r>
        <w:rPr>
          <w:spacing w:val="-5"/>
        </w:rPr>
        <w:t> </w:t>
      </w:r>
      <w:r>
        <w:rPr>
          <w:spacing w:val="-4"/>
        </w:rPr>
        <w:t>(EN)</w:t>
      </w:r>
    </w:p>
    <w:p>
      <w:pPr>
        <w:pStyle w:val="BodyText"/>
        <w:rPr>
          <w:b/>
        </w:rPr>
      </w:pPr>
    </w:p>
    <w:p>
      <w:pPr>
        <w:pStyle w:val="BodyText"/>
        <w:rPr>
          <w:b/>
        </w:rPr>
      </w:pPr>
    </w:p>
    <w:p>
      <w:pPr>
        <w:pStyle w:val="BodyText"/>
        <w:spacing w:line="360" w:lineRule="auto"/>
        <w:ind w:left="140" w:right="137"/>
        <w:jc w:val="both"/>
      </w:pPr>
      <w:r>
        <w:rPr/>
        <w:t>The proposed postdoctoral research examines the interdisciplinary methodological approach “What</w:t>
      </w:r>
      <w:r>
        <w:rPr>
          <w:spacing w:val="-1"/>
        </w:rPr>
        <w:t> </w:t>
      </w:r>
      <w:r>
        <w:rPr/>
        <w:t>is the Problem Represented to Be?” (WPR) developed by Carol Bacchi as a productive epistemological framework for the critical analysis and targeted problematization of contemporary public policies. On this basis, it seeks to apply the</w:t>
      </w:r>
      <w:r>
        <w:rPr>
          <w:spacing w:val="-1"/>
        </w:rPr>
        <w:t> </w:t>
      </w:r>
      <w:r>
        <w:rPr/>
        <w:t>WPR approach to the critical examination of domestic public policies regulating the regime of international protection, focusing in particular on Law 5226/2025, “Reform of the Framework and Procedures for the Return of Third-Country Nationals – Other Provisions of the Ministry of Migration and Asylum” (Government Gazette A’ 163/22.09.2025), and the</w:t>
      </w:r>
      <w:r>
        <w:rPr>
          <w:spacing w:val="80"/>
        </w:rPr>
        <w:t> </w:t>
      </w:r>
      <w:r>
        <w:rPr/>
        <w:t>restrictive</w:t>
      </w:r>
      <w:r>
        <w:rPr>
          <w:spacing w:val="80"/>
        </w:rPr>
        <w:t> </w:t>
      </w:r>
      <w:r>
        <w:rPr/>
        <w:t>legislative</w:t>
      </w:r>
      <w:r>
        <w:rPr>
          <w:spacing w:val="80"/>
        </w:rPr>
        <w:t> </w:t>
      </w:r>
      <w:r>
        <w:rPr/>
        <w:t>amendments</w:t>
      </w:r>
      <w:r>
        <w:rPr>
          <w:spacing w:val="80"/>
        </w:rPr>
        <w:t> </w:t>
      </w:r>
      <w:r>
        <w:rPr/>
        <w:t>it</w:t>
      </w:r>
      <w:r>
        <w:rPr>
          <w:spacing w:val="80"/>
        </w:rPr>
        <w:t> </w:t>
      </w:r>
      <w:r>
        <w:rPr/>
        <w:t>introduces</w:t>
      </w:r>
      <w:r>
        <w:rPr>
          <w:spacing w:val="80"/>
        </w:rPr>
        <w:t> </w:t>
      </w:r>
      <w:r>
        <w:rPr/>
        <w:t>into</w:t>
      </w:r>
      <w:r>
        <w:rPr>
          <w:spacing w:val="80"/>
        </w:rPr>
        <w:t> </w:t>
      </w:r>
      <w:r>
        <w:rPr/>
        <w:t>the</w:t>
      </w:r>
      <w:r>
        <w:rPr>
          <w:spacing w:val="80"/>
        </w:rPr>
        <w:t> </w:t>
      </w:r>
      <w:r>
        <w:rPr/>
        <w:t>Greek</w:t>
      </w:r>
      <w:r>
        <w:rPr>
          <w:spacing w:val="80"/>
        </w:rPr>
        <w:t> </w:t>
      </w:r>
      <w:r>
        <w:rPr/>
        <w:t>legal</w:t>
      </w:r>
      <w:r>
        <w:rPr>
          <w:spacing w:val="80"/>
        </w:rPr>
        <w:t> </w:t>
      </w:r>
      <w:r>
        <w:rPr/>
        <w:t>order. More specifically, at a first level, the project will present and clarify the politico-philosophical premises, theoretical influences, internal six-part structure, and guiding orientations of the methodological framework under examination, critically revisiting the dialogue it develops both with Foucauldian theory and with the feminist philosophical tradition. At a second level, the proposed research will utilize the WPR approach in order</w:t>
      </w:r>
      <w:r>
        <w:rPr>
          <w:spacing w:val="40"/>
        </w:rPr>
        <w:t> </w:t>
      </w:r>
      <w:r>
        <w:rPr/>
        <w:t>to critically analyze the domestic public policies that structure the current regulatory framework governing international protection and migration management, by subjecting</w:t>
      </w:r>
      <w:r>
        <w:rPr>
          <w:spacing w:val="40"/>
        </w:rPr>
        <w:t> </w:t>
      </w:r>
      <w:r>
        <w:rPr/>
        <w:t>the selected legislative example to the sixfold methodology of the applied research framework.Through the deployment of this poststructuralist methodological lens for the critical analysis of the increasingly restrictive asylum and migration regime within the contemporary Greek context, the project aims to re-thematize asylum and migration policies not as neutral institutional responses to an exogenous crisis, but as dominant biopolitical mechanisms of subjectification, categorization, and population control. By placing Bacchi’s methodological approach in dialogue with contemporary critical perspectives on the “performativity of the borders,” the research further seeks to</w:t>
      </w:r>
      <w:r>
        <w:rPr>
          <w:spacing w:val="-1"/>
        </w:rPr>
        <w:t> </w:t>
      </w:r>
      <w:r>
        <w:rPr/>
        <w:t>illuminate the</w:t>
      </w:r>
      <w:r>
        <w:rPr>
          <w:spacing w:val="46"/>
        </w:rPr>
        <w:t> </w:t>
      </w:r>
      <w:r>
        <w:rPr/>
        <w:t>biopolitical</w:t>
      </w:r>
      <w:r>
        <w:rPr>
          <w:spacing w:val="51"/>
        </w:rPr>
        <w:t> </w:t>
      </w:r>
      <w:r>
        <w:rPr/>
        <w:t>technologies</w:t>
      </w:r>
      <w:r>
        <w:rPr>
          <w:spacing w:val="51"/>
        </w:rPr>
        <w:t> </w:t>
      </w:r>
      <w:r>
        <w:rPr/>
        <w:t>through</w:t>
      </w:r>
      <w:r>
        <w:rPr>
          <w:spacing w:val="48"/>
        </w:rPr>
        <w:t> </w:t>
      </w:r>
      <w:r>
        <w:rPr/>
        <w:t>which</w:t>
      </w:r>
      <w:r>
        <w:rPr>
          <w:spacing w:val="50"/>
        </w:rPr>
        <w:t> </w:t>
      </w:r>
      <w:r>
        <w:rPr/>
        <w:t>the</w:t>
      </w:r>
      <w:r>
        <w:rPr>
          <w:spacing w:val="49"/>
        </w:rPr>
        <w:t> </w:t>
      </w:r>
      <w:r>
        <w:rPr/>
        <w:t>newly</w:t>
      </w:r>
      <w:r>
        <w:rPr>
          <w:spacing w:val="50"/>
        </w:rPr>
        <w:t> </w:t>
      </w:r>
      <w:r>
        <w:rPr/>
        <w:t>introduced</w:t>
      </w:r>
      <w:r>
        <w:rPr>
          <w:spacing w:val="50"/>
        </w:rPr>
        <w:t> </w:t>
      </w:r>
      <w:r>
        <w:rPr/>
        <w:t>restrictive</w:t>
      </w:r>
      <w:r>
        <w:rPr>
          <w:spacing w:val="49"/>
        </w:rPr>
        <w:t> </w:t>
      </w:r>
      <w:r>
        <w:rPr>
          <w:spacing w:val="-2"/>
        </w:rPr>
        <w:t>legislative</w:t>
      </w:r>
    </w:p>
    <w:p>
      <w:pPr>
        <w:pStyle w:val="BodyText"/>
        <w:spacing w:after="0" w:line="360" w:lineRule="auto"/>
        <w:jc w:val="both"/>
        <w:sectPr>
          <w:pgSz w:w="11910" w:h="16840"/>
          <w:pgMar w:top="1040" w:bottom="280" w:left="1275" w:right="1559"/>
        </w:sectPr>
      </w:pPr>
    </w:p>
    <w:p>
      <w:pPr>
        <w:pStyle w:val="BodyText"/>
        <w:spacing w:line="360" w:lineRule="auto" w:before="75"/>
        <w:ind w:left="140" w:right="123"/>
        <w:jc w:val="both"/>
      </w:pPr>
      <w:r>
        <w:rPr/>
        <w:t>regime produces, in a systematic and continuous manner, hierarchical categorizations of “illegal,”</w:t>
      </w:r>
      <w:r>
        <w:rPr>
          <w:spacing w:val="-2"/>
        </w:rPr>
        <w:t> </w:t>
      </w:r>
      <w:r>
        <w:rPr/>
        <w:t>“undesirable,” and</w:t>
      </w:r>
      <w:r>
        <w:rPr>
          <w:spacing w:val="-1"/>
        </w:rPr>
        <w:t> </w:t>
      </w:r>
      <w:r>
        <w:rPr/>
        <w:t>“deportable” subjects,</w:t>
      </w:r>
      <w:r>
        <w:rPr>
          <w:spacing w:val="-1"/>
        </w:rPr>
        <w:t> </w:t>
      </w:r>
      <w:r>
        <w:rPr/>
        <w:t>while safeguarding—through racialized terms—an essentialist conceptualization of citizenship and Western identity within the Nation-State,</w:t>
      </w:r>
      <w:r>
        <w:rPr>
          <w:spacing w:val="-3"/>
        </w:rPr>
        <w:t> </w:t>
      </w:r>
      <w:r>
        <w:rPr/>
        <w:t>and</w:t>
      </w:r>
      <w:r>
        <w:rPr>
          <w:spacing w:val="-2"/>
        </w:rPr>
        <w:t> </w:t>
      </w:r>
      <w:r>
        <w:rPr/>
        <w:t>“fetishizing”</w:t>
      </w:r>
      <w:r>
        <w:rPr>
          <w:spacing w:val="-3"/>
        </w:rPr>
        <w:t> </w:t>
      </w:r>
      <w:r>
        <w:rPr/>
        <w:t>the</w:t>
      </w:r>
      <w:r>
        <w:rPr>
          <w:spacing w:val="-3"/>
        </w:rPr>
        <w:t> </w:t>
      </w:r>
      <w:r>
        <w:rPr/>
        <w:t>criminalized</w:t>
      </w:r>
      <w:r>
        <w:rPr>
          <w:spacing w:val="-2"/>
        </w:rPr>
        <w:t> </w:t>
      </w:r>
      <w:r>
        <w:rPr/>
        <w:t>character</w:t>
      </w:r>
      <w:r>
        <w:rPr>
          <w:spacing w:val="-1"/>
        </w:rPr>
        <w:t> </w:t>
      </w:r>
      <w:r>
        <w:rPr/>
        <w:t>of</w:t>
      </w:r>
      <w:r>
        <w:rPr>
          <w:spacing w:val="-3"/>
        </w:rPr>
        <w:t> </w:t>
      </w:r>
      <w:r>
        <w:rPr/>
        <w:t>contemporary human</w:t>
      </w:r>
      <w:r>
        <w:rPr>
          <w:spacing w:val="-2"/>
        </w:rPr>
        <w:t> mobility.</w:t>
      </w:r>
    </w:p>
    <w:sectPr>
      <w:pgSz w:w="11910" w:h="16840"/>
      <w:pgMar w:top="1040" w:bottom="280" w:left="1275"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l-GR"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l-GR" w:eastAsia="en-US" w:bidi="ar-SA"/>
    </w:rPr>
  </w:style>
  <w:style w:styleId="Heading1" w:type="paragraph">
    <w:name w:val="Heading 1"/>
    <w:basedOn w:val="Normal"/>
    <w:uiPriority w:val="1"/>
    <w:qFormat/>
    <w:pPr>
      <w:jc w:val="center"/>
      <w:outlineLvl w:val="1"/>
    </w:pPr>
    <w:rPr>
      <w:rFonts w:ascii="Times New Roman" w:hAnsi="Times New Roman" w:eastAsia="Times New Roman" w:cs="Times New Roman"/>
      <w:b/>
      <w:bCs/>
      <w:sz w:val="24"/>
      <w:szCs w:val="24"/>
      <w:lang w:val="el-GR" w:eastAsia="en-US" w:bidi="ar-SA"/>
    </w:rPr>
  </w:style>
  <w:style w:styleId="ListParagraph" w:type="paragraph">
    <w:name w:val="List Paragraph"/>
    <w:basedOn w:val="Normal"/>
    <w:uiPriority w:val="1"/>
    <w:qFormat/>
    <w:pPr/>
    <w:rPr>
      <w:lang w:val="el-GR" w:eastAsia="en-US" w:bidi="ar-SA"/>
    </w:rPr>
  </w:style>
  <w:style w:styleId="TableParagraph" w:type="paragraph">
    <w:name w:val="Table Paragraph"/>
    <w:basedOn w:val="Normal"/>
    <w:uiPriority w:val="1"/>
    <w:qFormat/>
    <w:pPr/>
    <w:rPr>
      <w:lang w:val="el-G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
  <dcterms:created xsi:type="dcterms:W3CDTF">2026-06-29T10:54:53Z</dcterms:created>
  <dcterms:modified xsi:type="dcterms:W3CDTF">2026-06-29T10:54:53Z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2026-02-26T00:00:00Z</vt:filetime>
  </property>
  <property fmtid="{D5CDD505-2E9C-101B-9397-08002B2CF9AE}" pid="4" name="Creator">
    <vt:lpwstr>WPS Writer</vt:lpwstr>
  </property>
  <property fmtid="{D5CDD505-2E9C-101B-9397-08002B2CF9AE}" pid="5" name="LastSaved">
    <vt:filetime>2026-06-29T00:00:00Z</vt:filetime>
  </property>
  <property fmtid="{D5CDD505-2E9C-101B-9397-08002B2CF9AE}" pid="6" name="SourceModified">
    <vt:lpwstr>D:20260226184335+02'00'</vt:lpwstr>
  </property>
</Properties>
</file>